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BCBE6A" w14:textId="77777777" w:rsidR="00D50635" w:rsidRDefault="006B51E6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6: Student Progress</w:t>
      </w:r>
    </w:p>
    <w:p w14:paraId="72E1BF0C" w14:textId="77777777" w:rsidR="00D50635" w:rsidRDefault="006B51E6">
      <w:pPr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This tool draws from the KAS for Mathematics Assessment Review Protocol. Teachers may choose to utilize other instructional rubrics or protocols during this session.</w:t>
      </w:r>
    </w:p>
    <w:p w14:paraId="596B27B1" w14:textId="77777777" w:rsidR="00D50635" w:rsidRDefault="00D5063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2"/>
        <w:gridCol w:w="3644"/>
        <w:gridCol w:w="3644"/>
      </w:tblGrid>
      <w:tr w:rsidR="00D50635" w14:paraId="3EAE8629" w14:textId="77777777" w:rsidTr="00652F59">
        <w:trPr>
          <w:trHeight w:val="400"/>
        </w:trPr>
        <w:tc>
          <w:tcPr>
            <w:tcW w:w="10888" w:type="dxa"/>
            <w:gridSpan w:val="3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A6B6" w14:textId="77777777" w:rsidR="00D50635" w:rsidRDefault="006B51E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Preparing to Analyze Student Work </w:t>
            </w:r>
          </w:p>
        </w:tc>
      </w:tr>
      <w:tr w:rsidR="00D50635" w14:paraId="499F1DAA" w14:textId="77777777" w:rsidTr="00652F59">
        <w:trPr>
          <w:trHeight w:val="400"/>
        </w:trPr>
        <w:tc>
          <w:tcPr>
            <w:tcW w:w="10888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980E" w14:textId="77777777" w:rsidR="00D50635" w:rsidRDefault="006B51E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Standard(s):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Does the task focus on one or more grade-appropriate mathematics standards?</w:t>
            </w:r>
          </w:p>
        </w:tc>
      </w:tr>
      <w:tr w:rsidR="00D50635" w14:paraId="349E7BFA" w14:textId="77777777" w:rsidTr="00652F59">
        <w:trPr>
          <w:trHeight w:val="400"/>
        </w:trPr>
        <w:tc>
          <w:tcPr>
            <w:tcW w:w="108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CEA8" w14:textId="77777777" w:rsidR="00D50635" w:rsidRDefault="006B51E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What standard(s) does this task address? </w:t>
            </w:r>
          </w:p>
          <w:p w14:paraId="0FA20350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565C657" w14:textId="7B8D4C16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6ACF408" w14:textId="641AC37A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1CA00CD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C76CCE0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50635" w14:paraId="07E74676" w14:textId="77777777" w:rsidTr="00652F59"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EE0D" w14:textId="77777777" w:rsidR="00D50635" w:rsidRDefault="006B51E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Do the math: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Solve the task by creating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at least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2 different exemplar student responses.</w:t>
            </w:r>
          </w:p>
        </w:tc>
      </w:tr>
      <w:tr w:rsidR="00D50635" w14:paraId="23436528" w14:textId="77777777" w:rsidTr="006B51E6">
        <w:trPr>
          <w:trHeight w:val="6873"/>
        </w:trPr>
        <w:tc>
          <w:tcPr>
            <w:tcW w:w="7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D942" w14:textId="77777777" w:rsidR="00D50635" w:rsidRDefault="006B51E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Work Space</w:t>
            </w:r>
            <w:proofErr w:type="gramEnd"/>
          </w:p>
          <w:p w14:paraId="2649A241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1E252F4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2955574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5FBEB88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C877036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2E89D1C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0E01EAE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105B515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3009F20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9E566D1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A63D36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4871FEE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D01A3E9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F30E7C0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D24D70A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429731B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F823991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CCECEBB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E083FD3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FDD24E6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B756128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0A1F386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6F9D57A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E4D1164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9C34397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8556936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CF2053D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7866F67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5E645C6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2CAE6C5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B7AF7A9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5B76C6B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C30E3ED" w14:textId="77777777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EE0A2BD" w14:textId="48C72DB2" w:rsidR="00913FC1" w:rsidRDefault="00913F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E5C2" w14:textId="77777777" w:rsidR="00D50635" w:rsidRDefault="006B51E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Predict incorrect solution strategies (e.g., misconceptions, procedural errors). How will you proactively address these misconceptions?</w:t>
            </w:r>
          </w:p>
          <w:p w14:paraId="04AE06B1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50635" w14:paraId="063778F3" w14:textId="77777777" w:rsidTr="00652F59">
        <w:trPr>
          <w:trHeight w:val="400"/>
        </w:trPr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737D" w14:textId="77777777" w:rsidR="00D50635" w:rsidRDefault="006B51E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Keys to Mastery: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How are the targets of the standard addressed in this task?</w:t>
            </w:r>
          </w:p>
        </w:tc>
      </w:tr>
      <w:tr w:rsidR="00D50635" w14:paraId="5C0C71E2" w14:textId="77777777" w:rsidTr="00652F59">
        <w:trPr>
          <w:trHeight w:val="4290"/>
        </w:trPr>
        <w:tc>
          <w:tcPr>
            <w:tcW w:w="3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C38B" w14:textId="4AF66314" w:rsidR="00D50635" w:rsidRDefault="006B51E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Conceptual Understanding</w:t>
            </w:r>
          </w:p>
          <w:p w14:paraId="258566FE" w14:textId="78C3FA5D" w:rsidR="00D50635" w:rsidRDefault="006B51E6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building conceptual understanding, what do students have to</w:t>
            </w:r>
            <w:r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 xml:space="preserve"> know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</w:t>
            </w:r>
          </w:p>
          <w:p w14:paraId="09CCDA4B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12DF35AF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181B242A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64470B77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148FB484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680CEF16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159A" w14:textId="4A645084" w:rsidR="00D50635" w:rsidRDefault="006B51E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Procedural Skill/Fluency</w:t>
            </w:r>
          </w:p>
          <w:p w14:paraId="6972A363" w14:textId="38573D00" w:rsidR="00D50635" w:rsidRDefault="006B51E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procedural skill/fluency, what do students have to be able to do/</w:t>
            </w:r>
            <w:r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>show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How are students asked to connect procedures back to underlying conceptual ideas?</w:t>
            </w:r>
          </w:p>
          <w:p w14:paraId="6DF30320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ECBCDA0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B9C354A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2B51A46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8BDA05B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DBDB45B" w14:textId="77777777" w:rsidR="00D50635" w:rsidRDefault="00D506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C3D4" w14:textId="77777777" w:rsidR="00D50635" w:rsidRDefault="006B51E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Application</w:t>
            </w:r>
          </w:p>
          <w:p w14:paraId="11B15B68" w14:textId="4AE4C5DD" w:rsidR="00D50635" w:rsidRDefault="006B51E6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application, what opportunities exist for students to apply their learning to solve problems in a relevant and meaningful way?</w:t>
            </w:r>
          </w:p>
        </w:tc>
      </w:tr>
    </w:tbl>
    <w:p w14:paraId="6479C16B" w14:textId="77777777" w:rsidR="00D50635" w:rsidRDefault="00D50635">
      <w:pPr>
        <w:spacing w:line="240" w:lineRule="auto"/>
        <w:rPr>
          <w:rFonts w:ascii="Calibri" w:eastAsia="Calibri" w:hAnsi="Calibri" w:cs="Calibri"/>
          <w:b/>
          <w:i/>
        </w:rPr>
      </w:pPr>
    </w:p>
    <w:tbl>
      <w:tblPr>
        <w:tblStyle w:val="a0"/>
        <w:tblW w:w="1090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35"/>
        <w:gridCol w:w="1605"/>
        <w:gridCol w:w="3615"/>
        <w:gridCol w:w="3750"/>
      </w:tblGrid>
      <w:tr w:rsidR="00D50635" w14:paraId="05B7AA3D" w14:textId="77777777" w:rsidTr="00652F59">
        <w:tc>
          <w:tcPr>
            <w:tcW w:w="10905" w:type="dxa"/>
            <w:gridSpan w:val="4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094D" w14:textId="77777777" w:rsidR="00D50635" w:rsidRDefault="006B51E6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Analyzing Student Work</w:t>
            </w:r>
          </w:p>
        </w:tc>
      </w:tr>
      <w:tr w:rsidR="00D50635" w14:paraId="5E849344" w14:textId="77777777" w:rsidTr="00652F59">
        <w:trPr>
          <w:trHeight w:val="1760"/>
        </w:trPr>
        <w:tc>
          <w:tcPr>
            <w:tcW w:w="1935" w:type="dxa"/>
            <w:shd w:val="clear" w:color="auto" w:fill="D9D9D9"/>
          </w:tcPr>
          <w:p w14:paraId="720AA2C6" w14:textId="77777777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Student Name</w:t>
            </w:r>
          </w:p>
        </w:tc>
        <w:tc>
          <w:tcPr>
            <w:tcW w:w="1605" w:type="dxa"/>
            <w:shd w:val="clear" w:color="auto" w:fill="D9D9D9"/>
          </w:tcPr>
          <w:p w14:paraId="1D13841D" w14:textId="77777777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Mastery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(M)</w:t>
            </w:r>
          </w:p>
          <w:p w14:paraId="10BFFB85" w14:textId="77777777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Partial </w:t>
            </w:r>
            <w:r>
              <w:rPr>
                <w:rFonts w:ascii="Poppins" w:eastAsia="Poppins" w:hAnsi="Poppins" w:cs="Poppins"/>
                <w:b/>
                <w:sz w:val="18"/>
                <w:szCs w:val="18"/>
              </w:rPr>
              <w:br/>
              <w:t xml:space="preserve">Mastery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(P)</w:t>
            </w:r>
          </w:p>
          <w:p w14:paraId="3020CC86" w14:textId="77777777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No Mastery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(N)</w:t>
            </w:r>
          </w:p>
        </w:tc>
        <w:tc>
          <w:tcPr>
            <w:tcW w:w="3615" w:type="dxa"/>
            <w:shd w:val="clear" w:color="auto" w:fill="D9D9D9"/>
          </w:tcPr>
          <w:p w14:paraId="7552F4C9" w14:textId="77777777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Evidence of Strengths</w:t>
            </w:r>
          </w:p>
          <w:p w14:paraId="0A85C77F" w14:textId="77777777" w:rsidR="00D50635" w:rsidRDefault="006B51E6">
            <w:pPr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What is the evidence of mastery? Did students reach the target of the standard (conceptual understanding, procedural skill, and/or application)? If so, how?</w:t>
            </w:r>
          </w:p>
          <w:p w14:paraId="49430C02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D9D9D9"/>
          </w:tcPr>
          <w:p w14:paraId="2C307D66" w14:textId="77777777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Evidence of Opportunities for Growth</w:t>
            </w:r>
          </w:p>
          <w:p w14:paraId="5B476F45" w14:textId="77777777" w:rsidR="00D50635" w:rsidRDefault="006B51E6">
            <w:pPr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Which expectations of the standard (conceptual understanding, procedural skill, and/or application) do students need additional support with?</w:t>
            </w:r>
          </w:p>
        </w:tc>
      </w:tr>
      <w:tr w:rsidR="00D50635" w14:paraId="387C069B" w14:textId="77777777" w:rsidTr="00652F59">
        <w:trPr>
          <w:trHeight w:val="1640"/>
        </w:trPr>
        <w:tc>
          <w:tcPr>
            <w:tcW w:w="1935" w:type="dxa"/>
          </w:tcPr>
          <w:p w14:paraId="1F127272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21BD319E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722548B2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1B62CDC0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7810E340" w14:textId="77777777" w:rsidTr="00652F59">
        <w:trPr>
          <w:trHeight w:val="1640"/>
        </w:trPr>
        <w:tc>
          <w:tcPr>
            <w:tcW w:w="1935" w:type="dxa"/>
          </w:tcPr>
          <w:p w14:paraId="09164992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371110AD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4B97DE3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B1F3A6A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2DF3433D" w14:textId="77777777" w:rsidTr="00652F59">
        <w:trPr>
          <w:trHeight w:val="1640"/>
        </w:trPr>
        <w:tc>
          <w:tcPr>
            <w:tcW w:w="1935" w:type="dxa"/>
          </w:tcPr>
          <w:p w14:paraId="3AEAFA13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63886D10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3CCE791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66DC569A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4C48E7CD" w14:textId="77777777" w:rsidTr="00652F59">
        <w:trPr>
          <w:trHeight w:val="1640"/>
        </w:trPr>
        <w:tc>
          <w:tcPr>
            <w:tcW w:w="1935" w:type="dxa"/>
          </w:tcPr>
          <w:p w14:paraId="68674736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5D23CA77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11B2DFE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4AC03F4A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240FDE34" w14:textId="77777777" w:rsidTr="00652F59">
        <w:trPr>
          <w:trHeight w:val="1640"/>
        </w:trPr>
        <w:tc>
          <w:tcPr>
            <w:tcW w:w="1935" w:type="dxa"/>
          </w:tcPr>
          <w:p w14:paraId="23F18F39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051038D4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A60DC8E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50FA0EA0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4613EA5D" w14:textId="77777777" w:rsidTr="00652F59">
        <w:trPr>
          <w:trHeight w:val="1640"/>
        </w:trPr>
        <w:tc>
          <w:tcPr>
            <w:tcW w:w="1935" w:type="dxa"/>
          </w:tcPr>
          <w:p w14:paraId="0FCC2EB6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2728A9FA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E0D9597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4A309D6B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B51E6" w14:paraId="0B340782" w14:textId="77777777" w:rsidTr="00652F59">
        <w:trPr>
          <w:trHeight w:val="1640"/>
        </w:trPr>
        <w:tc>
          <w:tcPr>
            <w:tcW w:w="1935" w:type="dxa"/>
          </w:tcPr>
          <w:p w14:paraId="5E02AD27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27B98CCF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45B9A4C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193B18D3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B51E6" w14:paraId="516C6BD4" w14:textId="77777777" w:rsidTr="00652F59">
        <w:trPr>
          <w:trHeight w:val="1640"/>
        </w:trPr>
        <w:tc>
          <w:tcPr>
            <w:tcW w:w="1935" w:type="dxa"/>
          </w:tcPr>
          <w:p w14:paraId="6610CA2F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2D29639D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27DF3F26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3A8668BA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B51E6" w14:paraId="192B9A29" w14:textId="77777777" w:rsidTr="00652F59">
        <w:trPr>
          <w:trHeight w:val="1640"/>
        </w:trPr>
        <w:tc>
          <w:tcPr>
            <w:tcW w:w="1935" w:type="dxa"/>
          </w:tcPr>
          <w:p w14:paraId="47719010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6AB08CCD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2169042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06A8EA27" w14:textId="77777777" w:rsidR="006B51E6" w:rsidRDefault="006B51E6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</w:tbl>
    <w:p w14:paraId="0512B91F" w14:textId="77777777" w:rsidR="00D50635" w:rsidRDefault="00D50635">
      <w:pPr>
        <w:spacing w:line="240" w:lineRule="auto"/>
      </w:pPr>
    </w:p>
    <w:tbl>
      <w:tblPr>
        <w:tblStyle w:val="a1"/>
        <w:tblW w:w="1087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45"/>
        <w:gridCol w:w="2760"/>
        <w:gridCol w:w="2760"/>
        <w:gridCol w:w="2910"/>
      </w:tblGrid>
      <w:tr w:rsidR="00D50635" w14:paraId="585B6281" w14:textId="77777777" w:rsidTr="00652F59">
        <w:tc>
          <w:tcPr>
            <w:tcW w:w="10875" w:type="dxa"/>
            <w:gridSpan w:val="4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8ABE" w14:textId="77777777" w:rsidR="00D50635" w:rsidRDefault="006B51E6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Step 3. Respond to Student Work by Adjusting Instructional Practice</w:t>
            </w:r>
          </w:p>
        </w:tc>
      </w:tr>
      <w:tr w:rsidR="00D50635" w14:paraId="793584B7" w14:textId="77777777" w:rsidTr="006B51E6">
        <w:trPr>
          <w:trHeight w:val="1358"/>
        </w:trPr>
        <w:tc>
          <w:tcPr>
            <w:tcW w:w="2445" w:type="dxa"/>
          </w:tcPr>
          <w:p w14:paraId="44DED3A4" w14:textId="77777777" w:rsidR="00D50635" w:rsidRDefault="006B51E6">
            <w:pPr>
              <w:spacing w:before="20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Standard(s): </w:t>
            </w:r>
          </w:p>
          <w:p w14:paraId="336A202F" w14:textId="77777777" w:rsidR="00D50635" w:rsidRDefault="00D50635">
            <w:pPr>
              <w:widowControl w:val="0"/>
              <w:spacing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8430" w:type="dxa"/>
            <w:gridSpan w:val="3"/>
          </w:tcPr>
          <w:p w14:paraId="09616A3E" w14:textId="77777777" w:rsidR="00D50635" w:rsidRDefault="006B51E6">
            <w:pPr>
              <w:widowControl w:val="0"/>
              <w:spacing w:before="20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Re-teach Learning Objective: </w:t>
            </w:r>
          </w:p>
        </w:tc>
      </w:tr>
      <w:tr w:rsidR="00D50635" w14:paraId="2B5D38D6" w14:textId="77777777" w:rsidTr="00652F59">
        <w:trPr>
          <w:trHeight w:val="1220"/>
        </w:trPr>
        <w:tc>
          <w:tcPr>
            <w:tcW w:w="5205" w:type="dxa"/>
            <w:gridSpan w:val="2"/>
            <w:shd w:val="clear" w:color="auto" w:fill="146CC2"/>
          </w:tcPr>
          <w:p w14:paraId="15316987" w14:textId="77777777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lastRenderedPageBreak/>
              <w:t xml:space="preserve">Actions: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Compared to the first time this was taught, what is new and different about this approach?  Be specific and include 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method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resources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(e.g. bar models, small groups, fluency activities, base ten blocks)</w:t>
            </w:r>
          </w:p>
        </w:tc>
        <w:tc>
          <w:tcPr>
            <w:tcW w:w="2760" w:type="dxa"/>
            <w:shd w:val="clear" w:color="auto" w:fill="146CC2"/>
          </w:tcPr>
          <w:p w14:paraId="23AA1C10" w14:textId="77777777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Who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: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Whole group, Small group, Strategic Pairs,  Individual, Other)</w:t>
            </w:r>
          </w:p>
        </w:tc>
        <w:tc>
          <w:tcPr>
            <w:tcW w:w="2910" w:type="dxa"/>
            <w:shd w:val="clear" w:color="auto" w:fill="146CC2"/>
          </w:tcPr>
          <w:p w14:paraId="5003583F" w14:textId="77777777" w:rsidR="00D50635" w:rsidRDefault="006B51E6">
            <w:pPr>
              <w:spacing w:before="200" w:line="240" w:lineRule="auto"/>
              <w:jc w:val="center"/>
              <w:rPr>
                <w:rFonts w:ascii="Poppins" w:eastAsia="Poppins" w:hAnsi="Poppins" w:cs="Poppins"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When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: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Timeline and/or Frequency)</w:t>
            </w:r>
          </w:p>
        </w:tc>
      </w:tr>
      <w:tr w:rsidR="00D50635" w14:paraId="46A191D8" w14:textId="77777777" w:rsidTr="00652F59">
        <w:trPr>
          <w:trHeight w:val="1580"/>
        </w:trPr>
        <w:tc>
          <w:tcPr>
            <w:tcW w:w="5205" w:type="dxa"/>
            <w:gridSpan w:val="2"/>
          </w:tcPr>
          <w:p w14:paraId="325A3C50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4AC8A958" w14:textId="77777777" w:rsidR="00D50635" w:rsidRDefault="00D5063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0F157E79" w14:textId="77777777" w:rsidR="00D50635" w:rsidRDefault="00D5063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0CC22E17" w14:textId="77777777" w:rsidTr="00652F59">
        <w:trPr>
          <w:trHeight w:val="1580"/>
        </w:trPr>
        <w:tc>
          <w:tcPr>
            <w:tcW w:w="5205" w:type="dxa"/>
            <w:gridSpan w:val="2"/>
          </w:tcPr>
          <w:p w14:paraId="3F64D38D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1A149806" w14:textId="77777777" w:rsidR="00D50635" w:rsidRDefault="00D5063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2318E2D1" w14:textId="77777777" w:rsidR="00D50635" w:rsidRDefault="00D5063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00F7471D" w14:textId="77777777" w:rsidTr="00652F59">
        <w:trPr>
          <w:trHeight w:val="1580"/>
        </w:trPr>
        <w:tc>
          <w:tcPr>
            <w:tcW w:w="5205" w:type="dxa"/>
            <w:gridSpan w:val="2"/>
          </w:tcPr>
          <w:p w14:paraId="106EEABF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0A305252" w14:textId="77777777" w:rsidR="00D50635" w:rsidRDefault="00D5063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7AD2B85A" w14:textId="77777777" w:rsidR="00D50635" w:rsidRDefault="00D5063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4E93E8F7" w14:textId="77777777" w:rsidTr="00652F59">
        <w:trPr>
          <w:trHeight w:val="1580"/>
        </w:trPr>
        <w:tc>
          <w:tcPr>
            <w:tcW w:w="5205" w:type="dxa"/>
            <w:gridSpan w:val="2"/>
          </w:tcPr>
          <w:p w14:paraId="296FE519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44B4C773" w14:textId="77777777" w:rsidR="00D50635" w:rsidRDefault="00D5063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6654642C" w14:textId="77777777" w:rsidR="00D50635" w:rsidRDefault="00D5063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D50635" w14:paraId="5F54A543" w14:textId="77777777" w:rsidTr="00652F59">
        <w:trPr>
          <w:trHeight w:val="480"/>
        </w:trPr>
        <w:tc>
          <w:tcPr>
            <w:tcW w:w="10875" w:type="dxa"/>
            <w:gridSpan w:val="4"/>
            <w:shd w:val="clear" w:color="auto" w:fill="2D68C4"/>
          </w:tcPr>
          <w:p w14:paraId="1B5D24AC" w14:textId="0194759B" w:rsidR="00D50635" w:rsidRDefault="006B51E6">
            <w:pPr>
              <w:spacing w:before="200" w:line="240" w:lineRule="auto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How/when will mastery be reassessed?</w:t>
            </w:r>
          </w:p>
        </w:tc>
      </w:tr>
      <w:tr w:rsidR="00D50635" w14:paraId="509FD24A" w14:textId="77777777" w:rsidTr="006B51E6">
        <w:trPr>
          <w:trHeight w:val="1673"/>
        </w:trPr>
        <w:tc>
          <w:tcPr>
            <w:tcW w:w="10875" w:type="dxa"/>
            <w:gridSpan w:val="4"/>
          </w:tcPr>
          <w:p w14:paraId="4D54DFD1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C1B4505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bookmarkStart w:id="0" w:name="_GoBack"/>
            <w:bookmarkEnd w:id="0"/>
          </w:p>
          <w:p w14:paraId="4D33A077" w14:textId="77777777" w:rsidR="00D50635" w:rsidRDefault="00D506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E5351A7" w14:textId="77777777" w:rsidR="00D50635" w:rsidRDefault="00D50635">
      <w:pPr>
        <w:spacing w:after="200"/>
      </w:pPr>
    </w:p>
    <w:sectPr w:rsidR="00D5063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91AF" w14:textId="77777777" w:rsidR="0095234E" w:rsidRDefault="006B51E6">
      <w:pPr>
        <w:spacing w:line="240" w:lineRule="auto"/>
      </w:pPr>
      <w:r>
        <w:separator/>
      </w:r>
    </w:p>
  </w:endnote>
  <w:endnote w:type="continuationSeparator" w:id="0">
    <w:p w14:paraId="1F4D735B" w14:textId="77777777" w:rsidR="0095234E" w:rsidRDefault="006B5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25E6" w14:textId="77777777" w:rsidR="00D50635" w:rsidRDefault="00D50635">
    <w:pPr>
      <w:spacing w:line="240" w:lineRule="auto"/>
      <w:rPr>
        <w:rFonts w:ascii="Poppins" w:eastAsia="Poppins" w:hAnsi="Poppins" w:cs="Poppins"/>
        <w:color w:val="25282A"/>
        <w:sz w:val="18"/>
        <w:szCs w:val="18"/>
      </w:rPr>
    </w:pPr>
  </w:p>
  <w:p w14:paraId="41F2B5F5" w14:textId="77777777" w:rsidR="00D50635" w:rsidRDefault="006B51E6">
    <w:pPr>
      <w:spacing w:line="240" w:lineRule="auto"/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B24FA3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354D" w14:textId="77777777" w:rsidR="0095234E" w:rsidRDefault="006B51E6">
      <w:pPr>
        <w:spacing w:line="240" w:lineRule="auto"/>
      </w:pPr>
      <w:r>
        <w:separator/>
      </w:r>
    </w:p>
  </w:footnote>
  <w:footnote w:type="continuationSeparator" w:id="0">
    <w:p w14:paraId="7760C755" w14:textId="77777777" w:rsidR="0095234E" w:rsidRDefault="006B5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8528" w14:textId="55B97648" w:rsidR="00D50635" w:rsidRDefault="00913FC1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8CEDEB" wp14:editId="7EBA355A">
          <wp:simplePos x="0" y="0"/>
          <wp:positionH relativeFrom="column">
            <wp:posOffset>947420</wp:posOffset>
          </wp:positionH>
          <wp:positionV relativeFrom="paragraph">
            <wp:posOffset>-83185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B51E6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0288" behindDoc="0" locked="0" layoutInCell="1" allowOverlap="1" wp14:anchorId="5BF5B2FF" wp14:editId="54AAD275">
          <wp:simplePos x="0" y="0"/>
          <wp:positionH relativeFrom="margin">
            <wp:posOffset>-68580</wp:posOffset>
          </wp:positionH>
          <wp:positionV relativeFrom="margin">
            <wp:posOffset>-842645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132D0" w14:textId="77777777" w:rsidR="00D50635" w:rsidRDefault="006B51E6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2: Focusing on SMP 1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</w:p>
  <w:p w14:paraId="027722F8" w14:textId="77777777" w:rsidR="00D50635" w:rsidRDefault="006B51E6">
    <w:pPr>
      <w:spacing w:line="240" w:lineRule="auto"/>
      <w:ind w:left="2340"/>
      <w:jc w:val="right"/>
      <w:rPr>
        <w:rFonts w:ascii="Poppins" w:eastAsia="Poppins" w:hAnsi="Poppins" w:cs="Poppins"/>
        <w:b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F0BF7"/>
    <w:multiLevelType w:val="multilevel"/>
    <w:tmpl w:val="8B4A2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5265F"/>
    <w:multiLevelType w:val="multilevel"/>
    <w:tmpl w:val="A92C7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35"/>
    <w:rsid w:val="00652F59"/>
    <w:rsid w:val="006B51E6"/>
    <w:rsid w:val="00913FC1"/>
    <w:rsid w:val="0095234E"/>
    <w:rsid w:val="00B24FA3"/>
    <w:rsid w:val="00D5063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7E7A79"/>
  <w15:docId w15:val="{D5E666CC-E068-42A8-AECC-35F49F06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F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C1"/>
  </w:style>
  <w:style w:type="paragraph" w:styleId="Footer">
    <w:name w:val="footer"/>
    <w:basedOn w:val="Normal"/>
    <w:link w:val="FooterChar"/>
    <w:uiPriority w:val="99"/>
    <w:unhideWhenUsed/>
    <w:rsid w:val="00913F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KYED-536-968</_dlc_DocId>
    <_dlc_DocIdUrl xmlns="3a62de7d-ba57-4f43-9dae-9623ba637be0">
      <Url>https://www.education.ky.gov/curriculum/standards/kyacadstand/_layouts/15/DocIdRedir.aspx?ID=KYED-536-968</Url>
      <Description>KYED-536-968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FF1F97-CC4E-467D-9BC8-8080F565D514}"/>
</file>

<file path=customXml/itemProps2.xml><?xml version="1.0" encoding="utf-8"?>
<ds:datastoreItem xmlns:ds="http://schemas.openxmlformats.org/officeDocument/2006/customXml" ds:itemID="{8E5BA843-3562-43FA-88C6-19883B861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2ECC2-04BC-4BB5-AE4A-1DF7A1723694}">
  <ds:schemaRefs>
    <ds:schemaRef ds:uri="621773ed-55dc-4476-af5e-5bf4e5742684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12423c08-2846-40b6-adb1-6ff477af9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C90BBE-1343-47EF-89E8-EF24EDE1C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2020-07-20T16:05:00Z</dcterms:created>
  <dcterms:modified xsi:type="dcterms:W3CDTF">2020-07-27T16:23:00Z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0c37ec3c-2643-411e-843d-7def32f3f3f5</vt:lpwstr>
  </property>
</Properties>
</file>